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D30D8A" w:rsidRPr="00560BC9" w14:paraId="255A0682" w14:textId="77777777" w:rsidTr="00F44E06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1F7ED"/>
          </w:tcPr>
          <w:p w14:paraId="7208C568" w14:textId="77777777" w:rsidR="00D30D8A" w:rsidRPr="00560BC9" w:rsidRDefault="00D30D8A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560BC9">
              <w:rPr>
                <w:rFonts w:ascii="Cambria" w:hAnsi="Cambria"/>
                <w:sz w:val="22"/>
                <w:szCs w:val="22"/>
              </w:rPr>
              <w:t>БЮЛЕТЕНЬ  №1</w:t>
            </w:r>
          </w:p>
          <w:p w14:paraId="558A15E6" w14:textId="77777777" w:rsidR="00D30D8A" w:rsidRPr="00560BC9" w:rsidRDefault="00D30D8A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2D7700C8" w14:textId="77777777" w:rsidR="00D30D8A" w:rsidRPr="00560BC9" w:rsidRDefault="00D30D8A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4965C588" w14:textId="77777777" w:rsidR="00D30D8A" w:rsidRPr="00524EC9" w:rsidRDefault="00D30D8A" w:rsidP="00F44E06">
            <w:pPr>
              <w:pStyle w:val="af"/>
              <w:widowControl/>
              <w:spacing w:before="120"/>
              <w:jc w:val="center"/>
              <w:rPr>
                <w:rFonts w:ascii="Cambria" w:hAnsi="Cambria" w:cs="Cambria"/>
                <w:b/>
                <w:bCs/>
                <w:color w:val="000000"/>
                <w:sz w:val="22"/>
                <w:szCs w:val="22"/>
              </w:rPr>
            </w:pPr>
            <w:r w:rsidRPr="00524EC9">
              <w:rPr>
                <w:rStyle w:val="spanrvts0"/>
                <w:rFonts w:ascii="Cambria" w:eastAsiaTheme="majorEastAsia" w:hAnsi="Cambria"/>
                <w:b/>
                <w:bCs/>
                <w:sz w:val="22"/>
                <w:szCs w:val="22"/>
              </w:rPr>
              <w:t>ПРИВАТНЕ АКЦІОНЕРНЕ ТОВАРИСТВО "ЗАПОРІЗЬКЕ КАР'ЄРОУПРАВЛІННЯ"</w:t>
            </w:r>
          </w:p>
          <w:p w14:paraId="6057DA2E" w14:textId="77777777" w:rsidR="00D30D8A" w:rsidRPr="00560BC9" w:rsidRDefault="00D30D8A" w:rsidP="00F44E0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60BC9">
              <w:rPr>
                <w:rFonts w:ascii="Cambria" w:hAnsi="Cambria"/>
                <w:sz w:val="22"/>
                <w:szCs w:val="22"/>
              </w:rPr>
              <w:t xml:space="preserve">(ідентифікаційний код юридичної особи </w:t>
            </w:r>
            <w:r w:rsidRPr="00524EC9">
              <w:rPr>
                <w:rStyle w:val="spanrvts0"/>
                <w:rFonts w:ascii="Cambria" w:eastAsiaTheme="majorEastAsia" w:hAnsi="Cambria"/>
                <w:sz w:val="22"/>
                <w:szCs w:val="22"/>
              </w:rPr>
              <w:t>00110183</w:t>
            </w:r>
            <w:r w:rsidRPr="00560BC9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D30D8A" w:rsidRPr="00560BC9" w14:paraId="7B6BE1C3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B85D01" w14:textId="77777777" w:rsidR="00D30D8A" w:rsidRPr="00560BC9" w:rsidRDefault="00D30D8A" w:rsidP="00F44E06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D4B68D" w14:textId="77777777" w:rsidR="00D30D8A" w:rsidRPr="00CF1290" w:rsidRDefault="00D30D8A" w:rsidP="00F44E06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CF1290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 листопада 2025 року</w:t>
            </w:r>
          </w:p>
        </w:tc>
      </w:tr>
      <w:tr w:rsidR="00D30D8A" w:rsidRPr="00560BC9" w14:paraId="1AC9AF6F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4C0EBED" w14:textId="77777777" w:rsidR="00D30D8A" w:rsidRPr="00560BC9" w:rsidRDefault="00D30D8A" w:rsidP="00F44E06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827D2AB" w14:textId="77777777" w:rsidR="00D30D8A" w:rsidRDefault="00D30D8A" w:rsidP="00F44E06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18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>» листопада 2025 року</w:t>
            </w:r>
          </w:p>
        </w:tc>
      </w:tr>
      <w:tr w:rsidR="00D30D8A" w:rsidRPr="00560BC9" w14:paraId="014A67DA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5BE979" w14:textId="77777777" w:rsidR="00D30D8A" w:rsidRPr="00560BC9" w:rsidRDefault="00D30D8A" w:rsidP="00F44E06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18B0FB" w14:textId="77777777" w:rsidR="00D30D8A" w:rsidRDefault="00D30D8A" w:rsidP="00F44E06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28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» листопада 2025 року</w:t>
            </w:r>
          </w:p>
        </w:tc>
      </w:tr>
      <w:tr w:rsidR="00D30D8A" w:rsidRPr="00560BC9" w14:paraId="650E2C6D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E7EC16E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7FCF6B61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3576C73" w14:textId="77777777" w:rsidR="00D30D8A" w:rsidRPr="00560BC9" w:rsidRDefault="00D30D8A" w:rsidP="00F44E06">
            <w:pPr>
              <w:rPr>
                <w:rFonts w:ascii="Cambria" w:hAnsi="Cambria"/>
                <w:bCs/>
                <w:color w:val="000000"/>
                <w:sz w:val="18"/>
                <w:szCs w:val="18"/>
              </w:rPr>
            </w:pPr>
            <w:r w:rsidRPr="00560BC9">
              <w:rPr>
                <w:rFonts w:ascii="Cambria" w:hAnsi="Cambria"/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5BE851EA" w14:textId="77777777" w:rsidR="00D30D8A" w:rsidRPr="00560BC9" w:rsidRDefault="00D30D8A" w:rsidP="00F44E06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7A9B6B8D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3779EF7E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</w:p>
          <w:p w14:paraId="5BE58492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560BC9">
              <w:rPr>
                <w:rFonts w:ascii="Cambria" w:hAnsi="Cambria"/>
                <w:i/>
                <w:sz w:val="18"/>
                <w:szCs w:val="18"/>
              </w:rPr>
              <w:t xml:space="preserve">  </w:t>
            </w:r>
            <w:r w:rsidRPr="00560BC9">
              <w:rPr>
                <w:rFonts w:ascii="Cambria" w:hAnsi="Cambria"/>
                <w:sz w:val="18"/>
                <w:szCs w:val="18"/>
              </w:rPr>
              <w:t>- для юридичної особи</w:t>
            </w:r>
          </w:p>
          <w:p w14:paraId="0F1BC00A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A301CC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2688B17F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30D8A" w:rsidRPr="00560BC9" w14:paraId="40B58433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CB42E3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FD1F0E1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6412CFA9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560BC9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D30D8A" w:rsidRPr="00560BC9" w14:paraId="6AFAE84F" w14:textId="77777777" w:rsidTr="00F44E06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E9D7165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4913F380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D715E1A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П.І.Б.</w:t>
            </w:r>
            <w:r w:rsidRPr="00560BC9">
              <w:rPr>
                <w:rFonts w:ascii="Cambria" w:hAnsi="Cambria"/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560BC9">
              <w:rPr>
                <w:rFonts w:ascii="Cambria" w:hAnsi="Cambria"/>
                <w:sz w:val="18"/>
                <w:szCs w:val="18"/>
              </w:rPr>
              <w:t xml:space="preserve"> представника акціонера</w:t>
            </w:r>
          </w:p>
          <w:p w14:paraId="2133D4CD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</w:p>
          <w:p w14:paraId="5C778FA4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71CE783E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</w:p>
          <w:p w14:paraId="18E7D16C" w14:textId="77777777" w:rsidR="00D30D8A" w:rsidRPr="00560BC9" w:rsidRDefault="00D30D8A" w:rsidP="00F44E06">
            <w:pPr>
              <w:rPr>
                <w:rFonts w:ascii="Cambria" w:hAnsi="Cambria"/>
                <w:sz w:val="18"/>
                <w:szCs w:val="18"/>
              </w:rPr>
            </w:pPr>
            <w:r w:rsidRPr="00560BC9">
              <w:rPr>
                <w:rFonts w:ascii="Cambria" w:hAnsi="Cambria"/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560BC9">
              <w:rPr>
                <w:rFonts w:ascii="Cambria" w:hAnsi="Cambria"/>
                <w:i/>
                <w:sz w:val="18"/>
                <w:szCs w:val="18"/>
              </w:rPr>
              <w:t xml:space="preserve">  </w:t>
            </w:r>
            <w:r w:rsidRPr="00560BC9">
              <w:rPr>
                <w:rFonts w:ascii="Cambria" w:hAnsi="Cambria"/>
                <w:sz w:val="18"/>
                <w:szCs w:val="18"/>
              </w:rPr>
              <w:t>- для юридичної особи</w:t>
            </w:r>
          </w:p>
          <w:p w14:paraId="1059C91F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85562B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9479A66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D30D8A" w:rsidRPr="00560BC9" w14:paraId="5FCB034C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6AF13D0" w14:textId="77777777" w:rsidR="00D30D8A" w:rsidRPr="00560BC9" w:rsidRDefault="00D30D8A" w:rsidP="00F44E06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560BC9">
              <w:rPr>
                <w:rFonts w:ascii="Cambria" w:hAnsi="Cambria"/>
                <w:b/>
                <w:sz w:val="20"/>
                <w:szCs w:val="20"/>
                <w:lang w:val="uk-UA"/>
              </w:rPr>
              <w:t>Питання 1.</w:t>
            </w:r>
            <w:r w:rsidRPr="00560BC9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Розгляд звіту Правління </w:t>
            </w:r>
            <w:proofErr w:type="gramStart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  2021</w:t>
            </w:r>
            <w:proofErr w:type="gramEnd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 - 2024 роки та прийняття рішення за наслідками розгляду такого звіту.</w:t>
            </w:r>
          </w:p>
          <w:p w14:paraId="7597E8CD" w14:textId="77777777" w:rsidR="00D30D8A" w:rsidRPr="00083A1D" w:rsidRDefault="00D30D8A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BE6D35">
              <w:rPr>
                <w:rFonts w:ascii="Cambria" w:hAnsi="Cambria"/>
                <w:b/>
                <w:sz w:val="20"/>
                <w:szCs w:val="20"/>
                <w:lang w:val="ru-RU"/>
              </w:rPr>
              <w:t>Проект рішення:</w:t>
            </w:r>
            <w:r w:rsidRPr="00BE6D35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Затвердити звіт Правління </w:t>
            </w:r>
            <w:proofErr w:type="gramStart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  2021</w:t>
            </w:r>
            <w:proofErr w:type="gramEnd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 - 2024 роки.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Роботу Правління визнати задовільною.</w:t>
            </w:r>
          </w:p>
        </w:tc>
      </w:tr>
      <w:tr w:rsidR="00D30D8A" w:rsidRPr="00560BC9" w14:paraId="150B8942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A4A5A26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171079E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3E31DB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1F9AC35E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9D75A0" w14:textId="77777777" w:rsidR="00D30D8A" w:rsidRPr="00560BC9" w:rsidRDefault="00D30D8A" w:rsidP="00F44E06">
            <w:pPr>
              <w:pStyle w:val="rvps14"/>
              <w:ind w:left="0" w:hanging="2"/>
              <w:rPr>
                <w:rFonts w:ascii="Cambria" w:hAnsi="Cambria" w:cs="Cambria"/>
                <w:color w:val="000000" w:themeColor="text1"/>
                <w:sz w:val="20"/>
                <w:szCs w:val="20"/>
                <w:lang w:val="uk-UA"/>
              </w:rPr>
            </w:pPr>
            <w:r w:rsidRPr="00560BC9">
              <w:rPr>
                <w:rFonts w:ascii="Cambria" w:hAnsi="Cambria"/>
                <w:b/>
                <w:sz w:val="20"/>
                <w:szCs w:val="20"/>
                <w:lang w:val="uk-UA"/>
              </w:rPr>
              <w:t>Питання 2.</w:t>
            </w:r>
            <w:r w:rsidRPr="00560BC9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Розгляд звіту Наглядової ради Товариства </w:t>
            </w:r>
            <w:proofErr w:type="gramStart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  2021</w:t>
            </w:r>
            <w:proofErr w:type="gramEnd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 - 2024 роки та прийняття рішення за наслідками розгляду такого звіту.</w:t>
            </w:r>
          </w:p>
          <w:p w14:paraId="11B6745D" w14:textId="77777777" w:rsidR="00D30D8A" w:rsidRPr="00560BC9" w:rsidRDefault="00D30D8A" w:rsidP="00F44E06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/>
              </w:rPr>
            </w:pPr>
            <w:r w:rsidRPr="00560BC9">
              <w:rPr>
                <w:rFonts w:ascii="Cambria" w:hAnsi="Cambria"/>
                <w:b/>
                <w:sz w:val="20"/>
                <w:szCs w:val="20"/>
                <w:lang w:val="uk-UA"/>
              </w:rPr>
              <w:t>Проект рішення:</w:t>
            </w:r>
            <w:r w:rsidRPr="00560BC9">
              <w:rPr>
                <w:rFonts w:ascii="Cambria" w:hAnsi="Cambria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Затвердити звіт Наглядової ради Товариства 2021 - 2024 роки.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Роботу Наглядової ради Товариства визнати задовільною.</w:t>
            </w:r>
          </w:p>
        </w:tc>
      </w:tr>
      <w:tr w:rsidR="00D30D8A" w:rsidRPr="00560BC9" w14:paraId="2D113236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0F45ADBD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F26F529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982D5E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527112E6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C00AE7" w14:textId="77777777" w:rsidR="00D30D8A" w:rsidRDefault="00D30D8A" w:rsidP="00F44E06">
            <w:pPr>
              <w:pStyle w:val="af"/>
              <w:widowControl/>
              <w:spacing w:after="0"/>
              <w:jc w:val="both"/>
              <w:rPr>
                <w:rStyle w:val="spanrvts0"/>
                <w:rFonts w:ascii="Cambria" w:eastAsiaTheme="majorEastAsia" w:hAnsi="Cambria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3.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Затвердження (схвалення) рішення Наглядової ради про призначення суб'єкта аудиторської діяльності для проведення аудиту фінансової звітності за 2021 - 2024 роки.</w:t>
            </w:r>
          </w:p>
          <w:p w14:paraId="6D6EE5C1" w14:textId="77777777" w:rsidR="00D30D8A" w:rsidRPr="00083A1D" w:rsidRDefault="00D30D8A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BE6D35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 xml:space="preserve">Проект рішення: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  <w:t xml:space="preserve">Затвердження (схвалення) рішення Наглядової ради про призначення суб'єкта аудиторської діяльності Товариство з обмеженою відповідальністю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"АУДІТ-В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I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Д та Ко" для проведення аудиту фінансової звітності за 2021 - 2024 роки.</w:t>
            </w:r>
          </w:p>
        </w:tc>
      </w:tr>
      <w:tr w:rsidR="00D30D8A" w:rsidRPr="00560BC9" w14:paraId="42C3E489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6EEF013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77CDFAC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C9D89FF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6540AFE3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02340FF" w14:textId="77777777" w:rsidR="00D30D8A" w:rsidRPr="00560BC9" w:rsidRDefault="00D30D8A" w:rsidP="00F44E06">
            <w:pPr>
              <w:pStyle w:val="af"/>
              <w:widowControl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lastRenderedPageBreak/>
              <w:t>Питання 4.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Розгляд висновків аудиторських звітів суб'єктів аудиторської діяльності та затвердження заходів за результатами розгляду таких звітів.</w:t>
            </w:r>
          </w:p>
          <w:p w14:paraId="13815FB0" w14:textId="77777777" w:rsidR="00D30D8A" w:rsidRPr="00083A1D" w:rsidRDefault="00D30D8A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BE6D35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Проект рішення: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Затвердити висновки звітів суб'єктів аудиторської діяльності за 2021 - 2024 року. У зв'язку з відсутністю виявлених суттєвих порушень, заходи за результатами розгляду аудиторських звітів не затверджувати.</w:t>
            </w:r>
          </w:p>
        </w:tc>
      </w:tr>
      <w:tr w:rsidR="00D30D8A" w:rsidRPr="00560BC9" w14:paraId="0674AA92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DA88635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5318AED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AB80B0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7D19BB52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4C05338" w14:textId="77777777" w:rsidR="00D30D8A" w:rsidRPr="00560BC9" w:rsidRDefault="00D30D8A" w:rsidP="00F44E06">
            <w:pPr>
              <w:pStyle w:val="rvps14"/>
              <w:ind w:left="0" w:hanging="2"/>
              <w:rPr>
                <w:rFonts w:ascii="Cambria" w:hAnsi="Cambria" w:cs="Cambria"/>
                <w:color w:val="000000" w:themeColor="text1"/>
                <w:sz w:val="20"/>
                <w:szCs w:val="20"/>
                <w:lang w:val="uk-UA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5.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  2021</w:t>
            </w:r>
            <w:proofErr w:type="gramEnd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 - 2024 роки. Розподіл прибутку Товариства за 2024 рік та затвердження порядку покриття збитків Товариства за 2021 - 2023 роки.</w:t>
            </w:r>
          </w:p>
          <w:p w14:paraId="21455D51" w14:textId="77777777" w:rsidR="00D30D8A" w:rsidRPr="00083A1D" w:rsidRDefault="00D30D8A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BE6D35">
              <w:rPr>
                <w:rFonts w:ascii="Cambria" w:hAnsi="Cambria"/>
                <w:b/>
                <w:color w:val="000000"/>
                <w:sz w:val="20"/>
                <w:lang w:val="ru-RU"/>
              </w:rPr>
              <w:t>Проект рішення:</w:t>
            </w:r>
            <w:r w:rsidRPr="00BE6D35">
              <w:rPr>
                <w:rStyle w:val="ae"/>
                <w:rFonts w:ascii="Cambria" w:eastAsiaTheme="majorEastAsia" w:hAnsi="Cambria"/>
                <w:sz w:val="20"/>
                <w:lang w:val="ru-RU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Затвердити результати фінансово-господарської діяльності за 2021 - 2024 роки.  Збитки Товариства за 2021 - 2023 роки покрити за рахунок нерозподіленого прибутку Товариства за минулі періоди.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Прибуток за результатами 2024 року не розподіляти, дивіденди не сплачувати.</w:t>
            </w:r>
          </w:p>
        </w:tc>
      </w:tr>
      <w:tr w:rsidR="00D30D8A" w:rsidRPr="00560BC9" w14:paraId="23E9B47E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F344341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305083A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3197D54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4EE46E9E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7BE095C" w14:textId="77777777" w:rsidR="00D30D8A" w:rsidRDefault="00D30D8A" w:rsidP="00F44E06">
            <w:pPr>
              <w:pStyle w:val="rvps14"/>
              <w:ind w:left="0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Питання 6.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Затвердження річних звітів Товариства (річної інформації емітента цінних паперів) за 2021 - 2024 роки.</w:t>
            </w:r>
          </w:p>
          <w:p w14:paraId="3079E21E" w14:textId="77777777" w:rsidR="00D30D8A" w:rsidRPr="00560BC9" w:rsidRDefault="00D30D8A" w:rsidP="00F44E06">
            <w:pPr>
              <w:pStyle w:val="rvps14"/>
              <w:ind w:left="0" w:hanging="2"/>
              <w:rPr>
                <w:rFonts w:ascii="Cambria" w:hAnsi="Cambria"/>
                <w:sz w:val="20"/>
                <w:szCs w:val="20"/>
                <w:lang w:val="uk-UA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  <w:lang w:val="uk-UA"/>
              </w:rPr>
              <w:t>Проект рішення:</w:t>
            </w:r>
            <w:r w:rsidRPr="00560BC9">
              <w:rPr>
                <w:rStyle w:val="ae"/>
                <w:rFonts w:ascii="Cambria" w:eastAsiaTheme="majorEastAsia" w:hAnsi="Cambria"/>
                <w:sz w:val="20"/>
                <w:szCs w:val="20"/>
                <w:lang w:val="uk-UA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Затвердити річні звіти Товариства (річну інформацію емітента цінних паперів) за 2021 - 2024 роки.</w:t>
            </w:r>
          </w:p>
        </w:tc>
      </w:tr>
      <w:tr w:rsidR="00D30D8A" w:rsidRPr="00560BC9" w14:paraId="7491C0B3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C747572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0ACA6C49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A8E624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553AA302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9A9A20" w14:textId="77777777" w:rsidR="00D30D8A" w:rsidRPr="00560BC9" w:rsidRDefault="00D30D8A" w:rsidP="00F44E06">
            <w:pPr>
              <w:spacing w:before="60" w:after="60"/>
              <w:rPr>
                <w:rStyle w:val="spanrvts0"/>
                <w:rFonts w:ascii="Cambria" w:eastAsia="SimSun" w:hAnsi="Cambria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7.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Прийняття рішення про внесення змін до Статуту Товариства</w:t>
            </w:r>
            <w:r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.</w:t>
            </w:r>
          </w:p>
          <w:p w14:paraId="44178448" w14:textId="77777777" w:rsidR="00D30D8A" w:rsidRPr="00083A1D" w:rsidRDefault="00D30D8A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BE6D35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</w:t>
            </w:r>
            <w:proofErr w:type="gramStart"/>
            <w:r w:rsidRPr="00BE6D35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 xml:space="preserve">: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Внести</w:t>
            </w:r>
            <w:proofErr w:type="gramEnd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 зміни до Статуту Товариства шляхом затвердження його нової редакції. </w:t>
            </w:r>
          </w:p>
        </w:tc>
      </w:tr>
      <w:tr w:rsidR="00D30D8A" w:rsidRPr="00560BC9" w14:paraId="7E0DAA1F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58C704C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7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37BCF504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7107963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5D2981F7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445B53" w14:textId="77777777" w:rsidR="00D30D8A" w:rsidRDefault="00D30D8A" w:rsidP="00F44E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 w:val="0"/>
              <w:spacing w:after="160"/>
              <w:contextualSpacing/>
              <w:jc w:val="both"/>
              <w:rPr>
                <w:rStyle w:val="spanrvts0"/>
                <w:rFonts w:ascii="Cambria" w:eastAsiaTheme="majorEastAsia" w:hAnsi="Cambria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8.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Визначення осіб, які уповноважуються на підписання Статуту Товариства в новій редакції.  Визначення особи, якій надаватимуться повноваження щодо забезпечення державної реєстрації нової редакції Статуту Товариства.</w:t>
            </w:r>
          </w:p>
          <w:p w14:paraId="727066ED" w14:textId="77777777" w:rsidR="00D30D8A" w:rsidRPr="00083A1D" w:rsidRDefault="00D30D8A" w:rsidP="00F44E0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uppressAutoHyphens w:val="0"/>
              <w:spacing w:after="160"/>
              <w:contextualSpacing/>
              <w:jc w:val="both"/>
              <w:rPr>
                <w:rFonts w:ascii="Cambria" w:eastAsiaTheme="majorEastAsia" w:hAnsi="Cambria" w:cs="Times New Roman"/>
                <w:position w:val="-1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Проект рішення:</w:t>
            </w:r>
            <w:r w:rsidRPr="00560B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Визначити особами, які уповноважуються на підписання Статуту Товариства в новій редакції Головуючого та секретаря Загальних зборів.  Визначити особою, якій надаватимуться повноваження щодо забезпечення державної реєстрації нової редакції Статуту Товариства, Савченка Кирила Геннадійовича (самостійно або доручивши це іншим особам у порядку, встановленому чинним законодавством).</w:t>
            </w:r>
          </w:p>
        </w:tc>
      </w:tr>
      <w:tr w:rsidR="00D30D8A" w:rsidRPr="00560BC9" w14:paraId="6F96A465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1C6BC1EA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8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CFAF809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30A5CCA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4F50099B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12DB001" w14:textId="77777777" w:rsidR="00D30D8A" w:rsidRDefault="00D30D8A" w:rsidP="00F44E06">
            <w:pPr>
              <w:spacing w:before="60" w:after="60"/>
              <w:rPr>
                <w:rStyle w:val="spanrvts0"/>
                <w:rFonts w:ascii="Cambria" w:eastAsiaTheme="majorEastAsia" w:hAnsi="Cambria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9.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Затвердження Положення про загальні збори акціонерів. Затвердження Положення про наглядову раду в новій редакції.</w:t>
            </w:r>
          </w:p>
          <w:p w14:paraId="50C5CCD6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Проект рішення:</w:t>
            </w:r>
            <w:r w:rsidRPr="00560B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Затвердити Положення про Загальні збори акціонерів. Затвердити Положення про наглядову раду в новій редакції.</w:t>
            </w:r>
          </w:p>
        </w:tc>
      </w:tr>
      <w:tr w:rsidR="00D30D8A" w:rsidRPr="00560BC9" w14:paraId="746A1853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C8D58C6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9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593791F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59A8841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5FFEC1C2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5342BE1" w14:textId="77777777" w:rsidR="00D30D8A" w:rsidRPr="00560BC9" w:rsidRDefault="00D30D8A" w:rsidP="00F44E06">
            <w:pPr>
              <w:spacing w:before="60" w:after="6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10.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5D8416CD" w14:textId="77777777" w:rsidR="00D30D8A" w:rsidRPr="00BE6D35" w:rsidRDefault="00D30D8A" w:rsidP="00F44E06">
            <w:pPr>
              <w:pStyle w:val="rvps14"/>
              <w:ind w:leftChars="0" w:left="2"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</w:pPr>
            <w:r w:rsidRPr="00BE6D35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 w:rsidRPr="00BE6D35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 </w:t>
            </w:r>
          </w:p>
          <w:p w14:paraId="2F6B9BED" w14:textId="77777777" w:rsidR="00D30D8A" w:rsidRPr="00BE6D35" w:rsidRDefault="00D30D8A" w:rsidP="00F44E06">
            <w:pPr>
              <w:pStyle w:val="rvps14"/>
              <w:ind w:leftChars="0" w:left="2"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</w:pP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- Одержання Товариством кредитів/позик (прийняття грошових зобов'язань) акредитивів та/або одержання будь-яких інших банківських продуктів/послуг в банківських установах (банках), інвестиційних фондах, інших фінансових установах та укладення відповідних договорів, контрактів та/або додаткових угод. Гранична сукупна вартість таких правочинів 34 млн. грн., а строк таких зобов'язань Товариства не може перевищувати 3 років. </w:t>
            </w:r>
          </w:p>
          <w:p w14:paraId="4E49AAB0" w14:textId="77777777" w:rsidR="00D30D8A" w:rsidRPr="00BE6D35" w:rsidRDefault="00D30D8A" w:rsidP="00F44E06">
            <w:pPr>
              <w:pStyle w:val="rvps14"/>
              <w:ind w:leftChars="0" w:left="2"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</w:pP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- Передача рухомого та нерухомого майна (майнових прав) Товариства в заставу/іпотеку та/або укладання інших договорів забезпечення виконання зобов'язань (в т. ч. договору поруки) Товариства по правочинах з банківськими установами (банками), інвестиційними фондами та/або іншими фінансовими установами. Гранична сукупна вартість 34 млн. грн. </w:t>
            </w:r>
          </w:p>
          <w:p w14:paraId="7B2608BC" w14:textId="77777777" w:rsidR="00D30D8A" w:rsidRPr="00BE6D35" w:rsidRDefault="00D30D8A" w:rsidP="00F44E06">
            <w:pPr>
              <w:pStyle w:val="rvps14"/>
              <w:ind w:leftChars="0" w:left="2"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</w:pP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Надати Наглядовій раді Товариства повноваження без отримання додаткового рішення Загальних зборів акціонерів: </w:t>
            </w:r>
          </w:p>
          <w:p w14:paraId="7D2A1C97" w14:textId="77777777" w:rsidR="00D30D8A" w:rsidRPr="00BE6D35" w:rsidRDefault="00D30D8A" w:rsidP="00F44E06">
            <w:pPr>
              <w:pStyle w:val="rvps14"/>
              <w:ind w:leftChars="0" w:left="2"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</w:pP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- погоджувати та визначати всі без виключення істотні умови значних правочинів, на вчинення яких надано попередню згоду Загальними зборами акціонерів, з усіма можливими змінами та доповненнями;</w:t>
            </w:r>
          </w:p>
          <w:p w14:paraId="5397B647" w14:textId="77777777" w:rsidR="00D30D8A" w:rsidRPr="00BE6D35" w:rsidRDefault="00D30D8A" w:rsidP="00F44E06">
            <w:pPr>
              <w:pStyle w:val="rvps14"/>
              <w:ind w:leftChars="0" w:left="2" w:right="113" w:hanging="2"/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</w:pP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lastRenderedPageBreak/>
              <w:t xml:space="preserve"> - погоджувати/визначати перелік рухомого та нерухомого майна (майнових прав) Товариства, яке підлягає передачі в заставу/іпотеку; </w:t>
            </w:r>
          </w:p>
          <w:p w14:paraId="7E38B182" w14:textId="77777777" w:rsidR="00D30D8A" w:rsidRPr="00560BC9" w:rsidRDefault="00D30D8A" w:rsidP="00F44E06">
            <w:pPr>
              <w:pStyle w:val="af"/>
              <w:widowControl/>
              <w:spacing w:after="0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Уповноважити на укладання та підписання таких правочинів Директора /Голову правління Товариства.</w:t>
            </w:r>
          </w:p>
        </w:tc>
      </w:tr>
      <w:tr w:rsidR="00D30D8A" w:rsidRPr="00560BC9" w14:paraId="4F67F311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4B5C214B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ВАРІАНТИ ГОЛОСУВАННЯ з 10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87610B7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46C077C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0C66F296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E4B6E7" w14:textId="77777777" w:rsidR="00D30D8A" w:rsidRPr="00560BC9" w:rsidRDefault="00D30D8A" w:rsidP="00F44E06">
            <w:pPr>
              <w:spacing w:before="60" w:after="6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11.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Схвалення всіх рішень Наглядової ради та виконавчого органу, прийнятих з дати проведення у 2021 році загальних зборів та до моменту проведення загальних зборів у 2025 році. Затвердження всіх правочинів, вчинених Товариством в зазначений період..</w:t>
            </w:r>
          </w:p>
          <w:p w14:paraId="1E49B30E" w14:textId="77777777" w:rsidR="00D30D8A" w:rsidRPr="00083A1D" w:rsidRDefault="00D30D8A" w:rsidP="00F44E06">
            <w:pPr>
              <w:pStyle w:val="rvps14"/>
              <w:ind w:leftChars="0" w:left="2" w:right="113" w:hanging="2"/>
              <w:rPr>
                <w:rFonts w:ascii="Cambria" w:eastAsiaTheme="majorEastAsia" w:hAnsi="Cambria"/>
                <w:sz w:val="20"/>
                <w:szCs w:val="20"/>
                <w:lang w:val="uk-UA"/>
              </w:rPr>
            </w:pPr>
            <w:r w:rsidRPr="00BE6D35">
              <w:rPr>
                <w:rFonts w:ascii="Cambria" w:hAnsi="Cambria"/>
                <w:b/>
                <w:color w:val="000000"/>
                <w:sz w:val="20"/>
                <w:szCs w:val="20"/>
                <w:lang w:val="ru-RU"/>
              </w:rPr>
              <w:t>Проект рішення:</w:t>
            </w:r>
            <w:r w:rsidRPr="00BE6D35">
              <w:rPr>
                <w:rFonts w:ascii="Cambria" w:hAnsi="Cambria"/>
                <w:sz w:val="20"/>
                <w:szCs w:val="20"/>
                <w:lang w:val="ru-RU"/>
              </w:rPr>
              <w:t xml:space="preserve"> </w:t>
            </w:r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Схвалити всі рішення Наглядової ради та виконавчого органу, прийняті з дати проведення у 2021 році загальних зборів та </w:t>
            </w:r>
            <w:proofErr w:type="gramStart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>до моменту</w:t>
            </w:r>
            <w:proofErr w:type="gramEnd"/>
            <w:r w:rsidRPr="00BE6D35">
              <w:rPr>
                <w:rStyle w:val="spanrvts0"/>
                <w:rFonts w:ascii="Cambria" w:eastAsiaTheme="majorEastAsia" w:hAnsi="Cambria"/>
                <w:sz w:val="20"/>
                <w:szCs w:val="20"/>
                <w:lang w:val="ru-RU"/>
              </w:rPr>
              <w:t xml:space="preserve"> проведення загальних зборів у 2025 році.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Затвердити всі правочини, вчинені Товариством в зазначений період.</w:t>
            </w:r>
          </w:p>
        </w:tc>
      </w:tr>
      <w:tr w:rsidR="00D30D8A" w:rsidRPr="00560BC9" w14:paraId="1182422D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4751771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B1137AB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E91915B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5B9B3ECA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318453" w14:textId="77777777" w:rsidR="00D30D8A" w:rsidRDefault="00D30D8A" w:rsidP="00F44E06">
            <w:pPr>
              <w:spacing w:before="60" w:after="60"/>
              <w:rPr>
                <w:rStyle w:val="spanrvts0"/>
                <w:rFonts w:ascii="Cambria" w:eastAsiaTheme="majorEastAsia" w:hAnsi="Cambria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12.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Прийняття рішення про припинення повноважень членів наглядової ради</w:t>
            </w:r>
            <w:r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.</w:t>
            </w:r>
          </w:p>
          <w:p w14:paraId="7FAE4508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Проект рішення:</w:t>
            </w:r>
            <w:r w:rsidRPr="00560B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Припинити повноваження всіх членів наглядової ради: Голови наглядової ради Матюхи Полiни Олександрівни, члена наглядової ради Шипулiної Ксенії Валеріївни, члена наглядової ради Чухно Олени Анатоліївни.</w:t>
            </w:r>
          </w:p>
        </w:tc>
      </w:tr>
      <w:tr w:rsidR="00D30D8A" w:rsidRPr="00560BC9" w14:paraId="3D68321A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DC4A106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B62549F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65531E6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6A26F4AE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156D880" w14:textId="77777777" w:rsidR="00D30D8A" w:rsidRPr="00560BC9" w:rsidRDefault="00D30D8A" w:rsidP="00F44E06">
            <w:pPr>
              <w:spacing w:before="60" w:after="60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Питання 14.</w:t>
            </w:r>
            <w:r w:rsidRPr="00560BC9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5BBC8429" w14:textId="77777777" w:rsidR="00D30D8A" w:rsidRPr="00560BC9" w:rsidRDefault="00D30D8A" w:rsidP="00F44E06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560BC9">
              <w:rPr>
                <w:rFonts w:ascii="Cambria" w:hAnsi="Cambria"/>
                <w:b/>
                <w:color w:val="000000"/>
                <w:sz w:val="20"/>
                <w:szCs w:val="20"/>
              </w:rPr>
              <w:t>Проект рішення:</w:t>
            </w:r>
            <w:r w:rsidRPr="00560BC9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CD5E40">
              <w:rPr>
                <w:rStyle w:val="spanrvts0"/>
                <w:rFonts w:ascii="Cambria" w:eastAsiaTheme="majorEastAsia" w:hAnsi="Cambria"/>
                <w:sz w:val="20"/>
                <w:szCs w:val="20"/>
              </w:rPr>
              <w:t>Затвердити умови цивільно-правових договорів, що укладатимуться з членами наглядової ради, винагороду не сплачувати. Уповноважити Директора /Голову правління на підписання договорів з ними.</w:t>
            </w:r>
          </w:p>
        </w:tc>
      </w:tr>
      <w:tr w:rsidR="00D30D8A" w:rsidRPr="00560BC9" w14:paraId="77A2DDA5" w14:textId="77777777" w:rsidTr="00F44E06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7385A49A" w14:textId="77777777" w:rsidR="00D30D8A" w:rsidRPr="00560BC9" w:rsidRDefault="00D30D8A" w:rsidP="00F44E06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ВАРІАНТИ ГОЛОСУВАННЯ з 14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6908AFA3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D46FE9F" w14:textId="77777777" w:rsidR="00D30D8A" w:rsidRPr="00560BC9" w:rsidRDefault="00D30D8A" w:rsidP="00F44E06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D30D8A" w:rsidRPr="00560BC9" w14:paraId="64D01033" w14:textId="77777777" w:rsidTr="00F44E06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 w:themeFill="accent6" w:themeFillTint="33"/>
          </w:tcPr>
          <w:p w14:paraId="3E1DF283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1DED50E7" w14:textId="77777777" w:rsidR="00D30D8A" w:rsidRPr="00560BC9" w:rsidRDefault="00D30D8A" w:rsidP="00F44E06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60BC9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34456212" w14:textId="77777777" w:rsidR="00D30D8A" w:rsidRPr="00560BC9" w:rsidRDefault="00D30D8A" w:rsidP="00F44E06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41398D24" w14:textId="77777777" w:rsidR="00D30D8A" w:rsidRDefault="00D30D8A"/>
    <w:sectPr w:rsidR="00D30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8A"/>
    <w:rsid w:val="00273FA7"/>
    <w:rsid w:val="00D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3B6A"/>
  <w15:chartTrackingRefBased/>
  <w15:docId w15:val="{72582F62-C8BA-43F0-B247-C8C38A69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D8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D8A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D8A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8A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D8A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D8A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D8A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D8A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D8A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D8A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D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D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D8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3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D8A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3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D8A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30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D8A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30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D8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30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D8A"/>
    <w:rPr>
      <w:b/>
      <w:bCs/>
      <w:smallCaps/>
      <w:color w:val="2F5496" w:themeColor="accent1" w:themeShade="BF"/>
      <w:spacing w:val="5"/>
    </w:rPr>
  </w:style>
  <w:style w:type="character" w:styleId="ae">
    <w:name w:val="Strong"/>
    <w:qFormat/>
    <w:rsid w:val="00D30D8A"/>
    <w:rPr>
      <w:rFonts w:cs="Times New Roman"/>
      <w:b/>
    </w:rPr>
  </w:style>
  <w:style w:type="paragraph" w:styleId="af">
    <w:name w:val="Body Text"/>
    <w:basedOn w:val="a"/>
    <w:link w:val="af0"/>
    <w:uiPriority w:val="99"/>
    <w:rsid w:val="00D30D8A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qFormat/>
    <w:rsid w:val="00D30D8A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D30D8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D30D8A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5411</Words>
  <Characters>3085</Characters>
  <Application>Microsoft Office Word</Application>
  <DocSecurity>0</DocSecurity>
  <Lines>25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2025-11-17T09:05:00Z</dcterms:created>
  <dcterms:modified xsi:type="dcterms:W3CDTF">2025-11-17T09:06:00Z</dcterms:modified>
</cp:coreProperties>
</file>